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1" w:rsidRDefault="00D134B1">
      <w:pPr>
        <w:spacing w:line="42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hd w:val="clear" w:color="auto" w:fill="FFFFFF"/>
        </w:rPr>
        <w:t>舟山市人民政府办公室</w:t>
      </w:r>
    </w:p>
    <w:p w:rsidR="00073401" w:rsidRDefault="00D134B1">
      <w:pPr>
        <w:spacing w:line="42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hd w:val="clear" w:color="auto" w:fill="FFFFFF"/>
        </w:rPr>
        <w:t>关于扶持游戏电竞产业发展的实施意见</w:t>
      </w:r>
    </w:p>
    <w:p w:rsidR="00073401" w:rsidRDefault="00D134B1">
      <w:pPr>
        <w:spacing w:line="600" w:lineRule="auto"/>
        <w:jc w:val="center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（</w:t>
      </w:r>
      <w:r w:rsidR="001D6AA8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征求意见稿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）</w:t>
      </w:r>
    </w:p>
    <w:p w:rsidR="00073401" w:rsidRDefault="00073401">
      <w:pPr>
        <w:spacing w:line="560" w:lineRule="auto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</w:p>
    <w:p w:rsidR="00073401" w:rsidRDefault="00D134B1">
      <w:pPr>
        <w:spacing w:line="560" w:lineRule="auto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为加快培育游戏电竞产业发展新动能，引进一批具有较强竞争力的大型游戏龙头企业，集聚一批优质游戏企业，吸引一批国际国内知名的创意人才和优秀原创游戏团队扎根舟山，结合旅游产业发展电竞项目，更好地促进文化创意、体育和旅游产业相互赋能，助力新城区域率先建设游戏电竞产业基地，现提出以下实施意见。</w:t>
      </w:r>
    </w:p>
    <w:p w:rsidR="00073401" w:rsidRDefault="00D134B1">
      <w:pPr>
        <w:spacing w:line="560" w:lineRule="auto"/>
        <w:ind w:firstLine="64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t>一、总体要求</w:t>
      </w:r>
    </w:p>
    <w:p w:rsidR="00073401" w:rsidRDefault="00D134B1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以习近平新时代中国特色社会主义思想为指导，全面贯彻落实党的十九大精神，围绕“新城游戏电竞产业基地”建设目标,吸引一批国内知名的创意人才和优秀原创游戏团队,打造一批实力雄厚、具有较强竞争力的大型游戏龙头企业，培育一批技术先进、专业性强的中小型电竞企业，推进游戏电竞产业集约化、专业化和规模化发展，着力构建业态完善、充满活力的游戏电竞产业生态圈，为国内知名游戏电竞企业落户扎根营造良好环境，加快培育游戏电竞</w:t>
      </w:r>
      <w:r>
        <w:rPr>
          <w:rFonts w:ascii="仿宋_GB2312" w:eastAsia="仿宋_GB2312" w:hAnsi="仿宋_GB2312" w:cs="仿宋_GB2312"/>
          <w:color w:val="000000"/>
          <w:sz w:val="32"/>
        </w:rPr>
        <w:lastRenderedPageBreak/>
        <w:t>产业发展新动能，提升文化创意产业的经济贡献度。</w:t>
      </w:r>
    </w:p>
    <w:p w:rsidR="00073401" w:rsidRDefault="00D134B1">
      <w:pPr>
        <w:spacing w:line="560" w:lineRule="auto"/>
        <w:ind w:firstLine="64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t>二、发展举措</w:t>
      </w:r>
    </w:p>
    <w:p w:rsidR="00073401" w:rsidRDefault="00D134B1">
      <w:pPr>
        <w:spacing w:line="560" w:lineRule="auto"/>
        <w:ind w:firstLine="634"/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t>（一）打造产业集聚发展高地</w:t>
      </w:r>
    </w:p>
    <w:p w:rsidR="00073401" w:rsidRDefault="00D134B1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1.推动游戏电竞产业集聚发展。在新城区域划出一定地块或楼宇，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打造游戏电竞产业发展基地，着力引进数字文创领域总部企业、标杆企业。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对游戏龙头企业总部迁入以及引进的重大游戏产业项目，经属地政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府认定后给予一次性开办费</w:t>
      </w:r>
      <w:r w:rsidR="00434674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奖励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，实到注册资本在5000（含）-1亿元、1-10亿元、10亿元以上的，在资金到位后，分别给予100万元、200万元和500万元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。购买自用办公用房的，按每平方米1000元的标准给予一次性</w:t>
      </w:r>
      <w:r w:rsidR="00434674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奖励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，最高不超过100万元。租用自用办公用房的，自设立起三年内按房屋租赁合同所明确的租金给予100%补贴。（责任单位：新城管委会、市经信局、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市财政局、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市文广旅体局、市投促中心,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第一位为牵头单位，下同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）</w:t>
      </w:r>
    </w:p>
    <w:p w:rsidR="00073401" w:rsidRDefault="00D134B1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2.</w:t>
      </w:r>
      <w:r w:rsidR="00425E28">
        <w:rPr>
          <w:rFonts w:ascii="仿宋_GB2312" w:eastAsia="仿宋_GB2312" w:hAnsi="仿宋_GB2312" w:cs="仿宋_GB2312"/>
          <w:color w:val="000000"/>
          <w:sz w:val="32"/>
        </w:rPr>
        <w:t>打造协同发展产业生态。积极引进优质游戏企业</w:t>
      </w:r>
      <w:r>
        <w:rPr>
          <w:rFonts w:ascii="仿宋_GB2312" w:eastAsia="仿宋_GB2312" w:hAnsi="仿宋_GB2312" w:cs="仿宋_GB2312"/>
          <w:color w:val="000000"/>
          <w:sz w:val="32"/>
        </w:rPr>
        <w:t>开展生态链布局，</w:t>
      </w:r>
      <w:r>
        <w:rPr>
          <w:rFonts w:ascii="仿宋_GB2312" w:eastAsia="仿宋_GB2312" w:hAnsi="仿宋_GB2312" w:cs="仿宋_GB2312"/>
          <w:sz w:val="32"/>
        </w:rPr>
        <w:t>着重培育和引进游戏发行平台，促进产业链上下游资源整合与集群发展</w:t>
      </w:r>
      <w:r>
        <w:rPr>
          <w:rFonts w:ascii="仿宋_GB2312" w:eastAsia="仿宋_GB2312" w:hAnsi="仿宋_GB2312" w:cs="仿宋_GB2312"/>
          <w:color w:val="000000"/>
          <w:sz w:val="32"/>
        </w:rPr>
        <w:t>。在游戏研发、赛事内容制作、俱乐部经营、场馆运营、电竞外设、衍生品研发等高</w:t>
      </w:r>
      <w:r>
        <w:rPr>
          <w:rFonts w:ascii="仿宋_GB2312" w:eastAsia="仿宋_GB2312" w:hAnsi="仿宋_GB2312" w:cs="仿宋_GB2312"/>
          <w:color w:val="000000"/>
          <w:sz w:val="32"/>
        </w:rPr>
        <w:lastRenderedPageBreak/>
        <w:t>附加值领域加大招商及产业扶持力度，提高游戏电竞产业的经济贡献度。</w:t>
      </w:r>
      <w:r w:rsidR="00425E28">
        <w:rPr>
          <w:rFonts w:ascii="仿宋_GB2312" w:eastAsia="仿宋_GB2312" w:hAnsi="仿宋_GB2312" w:cs="仿宋_GB2312"/>
          <w:color w:val="000000"/>
          <w:sz w:val="32"/>
        </w:rPr>
        <w:t>根据游戏电竞企业对当地经济的贡献度给予奖励，贡献总额10-500万元(含)的奖85%；500-1500万元（含）奖90%；1500-2000万元（含）奖95%。</w:t>
      </w:r>
      <w:r>
        <w:rPr>
          <w:rFonts w:ascii="仿宋_GB2312" w:eastAsia="仿宋_GB2312" w:hAnsi="仿宋_GB2312" w:cs="仿宋_GB2312"/>
          <w:sz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</w:rPr>
        <w:t>责任单位：</w:t>
      </w:r>
      <w:r w:rsidR="00425E28">
        <w:rPr>
          <w:rFonts w:ascii="仿宋_GB2312" w:eastAsia="仿宋_GB2312" w:hAnsi="仿宋_GB2312" w:cs="仿宋_GB2312"/>
          <w:sz w:val="32"/>
        </w:rPr>
        <w:t>新城管委会</w:t>
      </w:r>
      <w:r w:rsidR="00425E28">
        <w:rPr>
          <w:rFonts w:ascii="仿宋_GB2312" w:eastAsia="仿宋_GB2312" w:hAnsi="仿宋_GB2312" w:cs="仿宋_GB2312" w:hint="eastAsia"/>
          <w:sz w:val="32"/>
        </w:rPr>
        <w:t>、</w:t>
      </w:r>
      <w:r w:rsidR="00425E28">
        <w:rPr>
          <w:rFonts w:ascii="仿宋_GB2312" w:eastAsia="仿宋_GB2312" w:hAnsi="仿宋_GB2312" w:cs="仿宋_GB2312"/>
          <w:sz w:val="32"/>
        </w:rPr>
        <w:t>市财政局、</w:t>
      </w:r>
      <w:r>
        <w:rPr>
          <w:rFonts w:ascii="仿宋_GB2312" w:eastAsia="仿宋_GB2312" w:hAnsi="仿宋_GB2312" w:cs="仿宋_GB2312"/>
          <w:color w:val="000000"/>
          <w:sz w:val="32"/>
        </w:rPr>
        <w:t>市文广旅体局、市投促中心</w:t>
      </w:r>
      <w:r>
        <w:rPr>
          <w:rFonts w:ascii="仿宋_GB2312" w:eastAsia="仿宋_GB2312" w:hAnsi="仿宋_GB2312" w:cs="仿宋_GB2312"/>
          <w:sz w:val="32"/>
        </w:rPr>
        <w:t>）</w:t>
      </w:r>
    </w:p>
    <w:p w:rsidR="00425E28" w:rsidRDefault="00425E28" w:rsidP="00425E28">
      <w:pPr>
        <w:spacing w:line="560" w:lineRule="auto"/>
        <w:ind w:firstLine="634"/>
        <w:rPr>
          <w:rFonts w:ascii="楷体_GB2312" w:eastAsia="楷体_GB2312" w:hAnsi="楷体_GB2312" w:cs="楷体_GB2312"/>
          <w:b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sz w:val="32"/>
          <w:shd w:val="clear" w:color="auto" w:fill="FFFFFF"/>
        </w:rPr>
        <w:t>（二）扶持游戏企业做优做强</w:t>
      </w:r>
    </w:p>
    <w:p w:rsidR="00425E28" w:rsidRDefault="00425E28" w:rsidP="00425E28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3</w:t>
      </w:r>
      <w:r>
        <w:rPr>
          <w:rFonts w:ascii="仿宋_GB2312" w:eastAsia="仿宋_GB2312" w:hAnsi="仿宋_GB2312" w:cs="仿宋_GB2312"/>
          <w:sz w:val="32"/>
        </w:rPr>
        <w:t>.优先发展原创游戏研发。鼓励游戏企业持续开展技术创新，提升原创游戏产品研制水平。助力企业</w:t>
      </w:r>
      <w:r>
        <w:rPr>
          <w:rFonts w:ascii="仿宋_GB2312" w:eastAsia="仿宋_GB2312" w:hAnsi="仿宋_GB2312" w:cs="仿宋_GB2312"/>
          <w:color w:val="000000"/>
          <w:sz w:val="32"/>
        </w:rPr>
        <w:t>快速、准确申报游戏版号。对获得国家新闻出版署审批通过，且已正式上线的网络游戏，每款产品给予游戏研发企业10万元奖励，每家企业最高不超过100万元。（责任单位：市委宣传部、市文广旅体局、新城管委会）</w:t>
      </w:r>
    </w:p>
    <w:p w:rsidR="00425E28" w:rsidRPr="00425E28" w:rsidRDefault="00425E28" w:rsidP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加快游戏企业梯次培育。深入实施科技型企业培育“双倍增”行动，做好重点软件企业培育认定服务工作，推动游戏行业高新技术企业与重点软件企业双提升。实施企业独角兽培育计划，打造一批技术领先、竞争能力强、成长性好的游戏企业。加大科技型中小企业培育力度，开展“小升规”培育计划，加强企业指导服务。（责任单位：市科技局、市经信局、市文广旅体局）</w:t>
      </w:r>
    </w:p>
    <w:p w:rsidR="00073401" w:rsidRDefault="00425E28">
      <w:pPr>
        <w:spacing w:line="560" w:lineRule="auto"/>
        <w:ind w:firstLine="634"/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lastRenderedPageBreak/>
        <w:t>（三</w:t>
      </w:r>
      <w:r w:rsidR="00D134B1"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t>）打造电竞产业发展核心区</w:t>
      </w:r>
    </w:p>
    <w:p w:rsidR="00073401" w:rsidRDefault="00425E28">
      <w:pPr>
        <w:spacing w:line="560" w:lineRule="auto"/>
        <w:ind w:firstLine="634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5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.支持重大电竞产业项目落地。以新城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区域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为主要集聚区域，吸引国际国内知名电竞俱乐部、重大电竞产业项目落地和新建电竞场馆。对当地经济发展具有重大效益的电竞产业项目，根据建成后实际投资额给予最高不超过500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万元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。对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新建的电竞场馆，根据建筑面积与座位数情况给予最高500万元的一次性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。对曾获得国际性、洲际性大型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电竞赛事前三名或全国性大型电竞赛事冠军的知名电竞俱乐部落户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（迁入）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，给予一次性20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万元奖励。（责任单位：新城管委会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2"/>
        </w:rPr>
        <w:t>市财政局、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市文广旅体局、市投促中心）</w:t>
      </w:r>
    </w:p>
    <w:p w:rsidR="00073401" w:rsidRDefault="00425E28">
      <w:pPr>
        <w:spacing w:line="560" w:lineRule="auto"/>
        <w:ind w:firstLine="634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6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.鼓励开发原创电竞内容产品。鼓励优秀原创动漫、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影视、文学、舟山本土故事、旅游景区等开发成电竞内容产品。对</w:t>
      </w:r>
      <w:r>
        <w:rPr>
          <w:rFonts w:ascii="宋体" w:eastAsia="宋体" w:hAnsi="宋体" w:cs="宋体"/>
          <w:color w:val="000000"/>
          <w:sz w:val="32"/>
          <w:shd w:val="clear" w:color="auto" w:fill="FFFFFF"/>
        </w:rPr>
        <w:t>新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开发、上线运营并达到一定影响力的原创电竞内容产品，按照研发投资金额的10%予以奖励，最高不超过50万元。对行业影响力大且被选为重大电竞赛事的原创游戏，给予一次性100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万元奖励。（责任单位：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新城管委会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2"/>
        </w:rPr>
        <w:t>市财政局、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市文广旅体局）</w:t>
      </w:r>
    </w:p>
    <w:p w:rsidR="00073401" w:rsidRDefault="00425E28">
      <w:pPr>
        <w:spacing w:line="560" w:lineRule="auto"/>
        <w:ind w:firstLine="634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7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.支持企业组织电竞赛事。积极引进世界级、国家级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lastRenderedPageBreak/>
        <w:t>电竞赛事落地。聚焦舟山旅游资源优势，鼓励在舟山举办电竞赛事，对奖金总额超过100万元的国际性/洲际性/全国性大中型赛事的主办方，按照奖金总额度的30%给予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金额最高不超过300万元。对参加国际性顶级赛事、国际性/洲际性/全国性大中型赛事，且荣获冠军的本市电竞俱乐部或电竞团队，按照获奖金额的10%给予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，全年累计</w:t>
      </w:r>
      <w:r w:rsidR="00434674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奖励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金额不超过30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万元。（责任单位：新城管委会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2"/>
        </w:rPr>
        <w:t>市财政局、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市文广旅体局）</w:t>
      </w:r>
    </w:p>
    <w:p w:rsidR="00073401" w:rsidRDefault="00D134B1">
      <w:pPr>
        <w:spacing w:line="560" w:lineRule="auto"/>
        <w:ind w:firstLine="634"/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t>（四）加大产业人才扶持力度</w:t>
      </w:r>
    </w:p>
    <w:p w:rsidR="00073401" w:rsidRDefault="00425E28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8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.实施产业贡献人才奖励。吸引一批国内知名的创意人才和优秀原创游戏团队扎根舟山。对入驻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新城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区</w:t>
      </w:r>
      <w:r w:rsidR="00D134B1">
        <w:rPr>
          <w:rFonts w:ascii="仿宋_GB2312" w:eastAsia="仿宋_GB2312" w:hAnsi="仿宋_GB2312" w:cs="仿宋_GB2312" w:hint="eastAsia"/>
          <w:color w:val="000000"/>
          <w:sz w:val="32"/>
        </w:rPr>
        <w:t>域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的企业，</w:t>
      </w:r>
      <w:r w:rsidR="00D134B1">
        <w:rPr>
          <w:rFonts w:ascii="仿宋_GB2312" w:eastAsia="仿宋_GB2312" w:hAnsi="仿宋_GB2312" w:cs="仿宋_GB2312"/>
          <w:color w:val="000000" w:themeColor="text1"/>
          <w:sz w:val="32"/>
        </w:rPr>
        <w:t>根据对当地综合贡献度给予奖励，贡献总额超过（含）10万元，并且吸纳员工20人（含）以上，给予2名高管一定奖励；每增加20名员工，增加1个奖励名额，每增加1个名额适当提高奖励比例。</w:t>
      </w:r>
      <w:r>
        <w:rPr>
          <w:rFonts w:ascii="仿宋_GB2312" w:eastAsia="仿宋_GB2312" w:hAnsi="仿宋_GB2312" w:cs="仿宋_GB2312"/>
          <w:color w:val="000000"/>
          <w:sz w:val="32"/>
        </w:rPr>
        <w:t>（责任单位：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新城管委会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、</w:t>
      </w:r>
      <w:r>
        <w:rPr>
          <w:rFonts w:ascii="仿宋_GB2312" w:eastAsia="仿宋_GB2312" w:hAnsi="仿宋_GB2312" w:cs="仿宋_GB2312"/>
          <w:color w:val="000000"/>
          <w:sz w:val="32"/>
        </w:rPr>
        <w:t>市人社局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）</w:t>
      </w:r>
    </w:p>
    <w:p w:rsidR="00073401" w:rsidRDefault="00425E28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9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.完善全链条人才配套服务。优化人才奖励兑现流程，提升人才在舟山的获得感、归属感。对游戏企业的</w:t>
      </w:r>
      <w:r w:rsidR="00D134B1">
        <w:rPr>
          <w:rFonts w:ascii="仿宋_GB2312" w:eastAsia="仿宋_GB2312" w:hAnsi="仿宋_GB2312" w:cs="仿宋_GB2312" w:hint="eastAsia"/>
          <w:color w:val="000000"/>
          <w:sz w:val="32"/>
        </w:rPr>
        <w:t>相关</w:t>
      </w:r>
      <w:bookmarkStart w:id="0" w:name="_GoBack"/>
      <w:bookmarkEnd w:id="0"/>
      <w:r w:rsidR="00D134B1">
        <w:rPr>
          <w:rFonts w:ascii="仿宋_GB2312" w:eastAsia="仿宋_GB2312" w:hAnsi="仿宋_GB2312" w:cs="仿宋_GB2312"/>
          <w:color w:val="000000"/>
          <w:sz w:val="32"/>
        </w:rPr>
        <w:t>人才（人数限定），优先考虑入住本区“人才公寓”。为企</w:t>
      </w:r>
      <w:r w:rsidR="00D134B1">
        <w:rPr>
          <w:rFonts w:ascii="仿宋_GB2312" w:eastAsia="仿宋_GB2312" w:hAnsi="仿宋_GB2312" w:cs="仿宋_GB2312"/>
          <w:color w:val="000000"/>
          <w:sz w:val="32"/>
        </w:rPr>
        <w:lastRenderedPageBreak/>
        <w:t>业管理和技术人才的子女在享受市民待遇、就学等方面提供支持保障，享受市政府出台的“5313”行动计划相关优惠政策，按人才政策给予租房补贴、购房补贴、创业资助等扶持。（责任单位：市委人才办、市教育局、市人社局）</w:t>
      </w:r>
    </w:p>
    <w:p w:rsidR="00073401" w:rsidRDefault="00D134B1">
      <w:pPr>
        <w:spacing w:line="560" w:lineRule="auto"/>
        <w:ind w:firstLine="634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t>（五）强化科技与金融服务支撑</w:t>
      </w:r>
    </w:p>
    <w:p w:rsidR="00073401" w:rsidRDefault="00425E28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0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.强化科技创新支撑。注重科技赋能，发挥新城区域高新技术企业和文创企业集聚优势，重点推进虚拟现实、人工智能、大数据等产业创新发展，支持高新技</w:t>
      </w:r>
      <w:r>
        <w:rPr>
          <w:rFonts w:ascii="仿宋_GB2312" w:eastAsia="仿宋_GB2312" w:hAnsi="仿宋_GB2312" w:cs="仿宋_GB2312"/>
          <w:color w:val="000000"/>
          <w:sz w:val="32"/>
        </w:rPr>
        <w:t>术服务于电子竞技产业的内容生产与创作表现形式，推进科技成果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转化。高标准打造科技成果服务、展示、发布、交易、转化五大功能平台，促进游戏与5G、VR、大数据、云计算等前沿技术融合发展。（责任单位：市科技局、市经信局）</w:t>
      </w:r>
    </w:p>
    <w:p w:rsidR="00073401" w:rsidRDefault="00425E28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1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.拓宽资本对接渠道。积极联合风投创投机构，通过资本对接会，促进中小游戏企业资本对接工作。对符合条件的游戏企业，按其上年度实际到账的风险投资总额的3%给予奖励，每家企业最高不超过60万元。做好拟上市公司服务工作，开展政策宣讲、后备企业建库、实地对接、专项辅导等工作，协调企业上市过程中遇到的困难。对成功上市以及在新三板挂牌的游戏企业，实施上市挂牌分级奖</w:t>
      </w:r>
      <w:r w:rsidR="00D134B1">
        <w:rPr>
          <w:rFonts w:ascii="仿宋_GB2312" w:eastAsia="仿宋_GB2312" w:hAnsi="仿宋_GB2312" w:cs="仿宋_GB2312"/>
          <w:color w:val="000000"/>
          <w:sz w:val="32"/>
        </w:rPr>
        <w:lastRenderedPageBreak/>
        <w:t>励。</w:t>
      </w:r>
      <w:r>
        <w:rPr>
          <w:rFonts w:ascii="仿宋_GB2312" w:eastAsia="仿宋_GB2312" w:hAnsi="仿宋_GB2312" w:cs="仿宋_GB2312"/>
          <w:color w:val="000000"/>
          <w:sz w:val="32"/>
        </w:rPr>
        <w:t>对上市企业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给予 500 万元专项奖励，实行分阶段奖励政策，对企业在辅导备案受理、报会受理和首发上市环节分别给予 100 万元、200 万元和 200 万元奖</w:t>
      </w:r>
      <w:r>
        <w:rPr>
          <w:rFonts w:ascii="仿宋_GB2312" w:eastAsia="仿宋_GB2312" w:hAnsi="仿宋_GB2312" w:cs="仿宋_GB2312"/>
          <w:color w:val="000000"/>
          <w:sz w:val="32"/>
        </w:rPr>
        <w:t>励。对新三板挂牌企业，在取得新三板挂牌同意函后，</w:t>
      </w:r>
      <w:r w:rsidR="00D134B1">
        <w:rPr>
          <w:rFonts w:ascii="仿宋_GB2312" w:eastAsia="仿宋_GB2312" w:hAnsi="仿宋_GB2312" w:cs="仿宋_GB2312"/>
          <w:color w:val="000000"/>
          <w:sz w:val="32"/>
        </w:rPr>
        <w:t xml:space="preserve">给予 100 </w:t>
      </w:r>
      <w:r>
        <w:rPr>
          <w:rFonts w:ascii="仿宋_GB2312" w:eastAsia="仿宋_GB2312" w:hAnsi="仿宋_GB2312" w:cs="仿宋_GB2312"/>
          <w:color w:val="000000"/>
          <w:sz w:val="32"/>
        </w:rPr>
        <w:t>万元专项奖励。（责任单位：</w:t>
      </w:r>
      <w:r w:rsidR="00D134B1">
        <w:rPr>
          <w:rFonts w:ascii="仿宋_GB2312" w:eastAsia="仿宋_GB2312" w:hAnsi="仿宋_GB2312" w:cs="仿宋_GB2312"/>
          <w:color w:val="000000"/>
          <w:sz w:val="32"/>
        </w:rPr>
        <w:t>新城管委会，市财政局、市金融办）</w:t>
      </w:r>
    </w:p>
    <w:p w:rsidR="00073401" w:rsidRDefault="00425E28">
      <w:pPr>
        <w:spacing w:line="560" w:lineRule="auto"/>
        <w:ind w:firstLine="634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2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搭建金融供需对接平台。持续创新融资品种，发动商业银行通过线上线下相结合的方式，创新符合游戏电竞产业发展的金融产品和服务。鼓励银行为游戏电竞企业提供融资贷款服务，各类担保公司按照市场化方式提供贷款担保。（责任单位：市金融办、市国资委、人行舟山中心支行）</w:t>
      </w:r>
    </w:p>
    <w:p w:rsidR="00073401" w:rsidRDefault="00D134B1">
      <w:pPr>
        <w:spacing w:line="560" w:lineRule="auto"/>
        <w:ind w:firstLine="634"/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t>（六）优化提升产业发展环境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3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提供优质政务服务。根据版号申请有关要求和最新政策动向，定期邀请组织专家给予版权政策辅导，积极协助企业向上申报游戏版权，提高企业申报成功率，缩短审批时间。发挥高端专业服务机构优势，为辖区游戏企业提供注册登记、证照申请、资质办理等一站式服务，加快办理时效，推进企业服务提质增效。（责任单位：市委宣传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lastRenderedPageBreak/>
        <w:t>部、市文广旅体局、新城管委会、市政务服务办）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4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引导行业规范发展。充分发挥社会主义核心价值观的引领作用，在游戏研发、出版、发行等环节始终坚持正确政治方向、舆论导向和价值取向。健全维权援助机制，加强游戏知识产权（版权）保护。鼓励设立行业协会，开展行业自律、标准制订等各项工作，完善行业竞争规则，维护公平公正的行业秩序。强化市场主体保护，积极推进包容审慎监管、信用监管等建设，进一步规范涉企执法行为，推行“有温度”的行政执法模式。（责任单位：市委宣传部、市公安局、市文广旅体局）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5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搭建交流合作平台。联合省、市相关行业协会和产业联盟，定期组织辖区企业参与游戏行业论坛、商务交流会、专场座谈会等，及时了解企业动向与实际需求，促进游戏行业企业之间的交流与合作，加强区内游戏人才业务培训。（责任单位：市文广旅体局、新城管委会）</w:t>
      </w:r>
    </w:p>
    <w:p w:rsidR="00073401" w:rsidRDefault="00D134B1">
      <w:pPr>
        <w:spacing w:line="560" w:lineRule="auto"/>
        <w:ind w:firstLine="634"/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color w:val="000000"/>
          <w:sz w:val="32"/>
          <w:shd w:val="clear" w:color="auto" w:fill="FFFFFF"/>
        </w:rPr>
        <w:t xml:space="preserve"> (七)强化措施保障与责任落实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6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.建立工作机制。成立舟山市游戏电竞产业发展工作联席会议，由分管产业经济副市长担任召集人，市委宣传部、市发改委、市经信局、市科技局、市公安局、市文广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lastRenderedPageBreak/>
        <w:t>旅体局、市金融办、市投资促进中心等为成员单位，研究协调游戏产业发展的相关事项。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7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.加大政策支持。统筹舟山市推动经济高质量发展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相关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政策，结合本区域实际，加大对游戏电竞产业发展的支持力度，为辖区内企业提供针对性、多样化的要素供给。紧密对接上级的有关实践做法，引导辖区内企业积极申报高新技术企业、税收优惠等上级相关政策。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8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.加强宣传引导。加大游戏电竞产业的正面宣传引导，发挥游戏的正向价值。通过各类媒体宣传舟山游戏电竞产业发展、应用示范等工作成效，营造推动游戏产业健康发展的良好氛围。</w:t>
      </w:r>
    </w:p>
    <w:p w:rsidR="00073401" w:rsidRDefault="00D134B1">
      <w:pPr>
        <w:spacing w:line="560" w:lineRule="auto"/>
        <w:ind w:firstLine="64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t>四、附则</w:t>
      </w:r>
    </w:p>
    <w:p w:rsidR="00073401" w:rsidRDefault="00D134B1">
      <w:pPr>
        <w:spacing w:line="560" w:lineRule="auto"/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本意见扶持对象为</w:t>
      </w:r>
      <w:r w:rsidR="00425E28">
        <w:rPr>
          <w:rFonts w:ascii="仿宋_GB2312" w:eastAsia="仿宋_GB2312" w:hAnsi="仿宋_GB2312" w:cs="仿宋_GB2312"/>
          <w:color w:val="000000" w:themeColor="text1"/>
          <w:sz w:val="32"/>
        </w:rPr>
        <w:t>在新城</w:t>
      </w:r>
      <w:r>
        <w:rPr>
          <w:rFonts w:ascii="仿宋_GB2312" w:eastAsia="仿宋_GB2312" w:hAnsi="仿宋_GB2312" w:cs="仿宋_GB2312"/>
          <w:color w:val="000000" w:themeColor="text1"/>
          <w:sz w:val="32"/>
        </w:rPr>
        <w:t>区域内，依法注册登记的，</w:t>
      </w:r>
      <w:r>
        <w:rPr>
          <w:rFonts w:ascii="仿宋_GB2312" w:eastAsia="仿宋_GB2312" w:hAnsi="仿宋_GB2312" w:cs="仿宋_GB2312"/>
          <w:color w:val="000000"/>
          <w:sz w:val="32"/>
        </w:rPr>
        <w:t>从事原创游戏开发、</w:t>
      </w:r>
      <w:r>
        <w:rPr>
          <w:rFonts w:ascii="仿宋" w:eastAsia="仿宋" w:hAnsi="仿宋" w:cs="仿宋"/>
          <w:sz w:val="32"/>
        </w:rPr>
        <w:t>电子竞技、电竞直播、</w:t>
      </w:r>
      <w:r>
        <w:rPr>
          <w:rFonts w:ascii="仿宋_GB2312" w:eastAsia="仿宋_GB2312" w:hAnsi="仿宋_GB2312" w:cs="仿宋_GB2312"/>
          <w:color w:val="000000"/>
          <w:sz w:val="32"/>
        </w:rPr>
        <w:t>电竞俱乐部</w:t>
      </w:r>
      <w:r>
        <w:rPr>
          <w:rFonts w:ascii="仿宋" w:eastAsia="仿宋" w:hAnsi="仿宋" w:cs="仿宋"/>
          <w:sz w:val="32"/>
        </w:rPr>
        <w:t>、</w:t>
      </w:r>
      <w:r>
        <w:rPr>
          <w:rFonts w:ascii="仿宋_GB2312" w:eastAsia="仿宋_GB2312" w:hAnsi="仿宋_GB2312" w:cs="仿宋_GB2312"/>
          <w:color w:val="000000"/>
          <w:sz w:val="32"/>
        </w:rPr>
        <w:t>赛事运营</w:t>
      </w:r>
      <w:r>
        <w:rPr>
          <w:rFonts w:ascii="仿宋" w:eastAsia="仿宋" w:hAnsi="仿宋" w:cs="仿宋"/>
          <w:sz w:val="32"/>
        </w:rPr>
        <w:t>、互联网后台服务</w:t>
      </w:r>
      <w:r>
        <w:rPr>
          <w:rFonts w:ascii="仿宋_GB2312" w:eastAsia="仿宋_GB2312" w:hAnsi="仿宋_GB2312" w:cs="仿宋_GB2312"/>
          <w:color w:val="000000"/>
          <w:sz w:val="32"/>
        </w:rPr>
        <w:t>等企业和其他各类组织，且这些企业、组织信用良好，符合电竞产业发展导向。</w:t>
      </w:r>
    </w:p>
    <w:p w:rsidR="00073401" w:rsidRDefault="00D134B1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本政策执行期间，如遇国家和浙江省重大政策变化，则作相应调整。如与国家和浙江省的政策有重大冲突的，以国家和浙江省的政策为准。与国家、省相关政策有重复、</w:t>
      </w: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lastRenderedPageBreak/>
        <w:t>交叉的，按照“从优、从高、不重复”原则执行。</w:t>
      </w:r>
    </w:p>
    <w:p w:rsidR="00073401" w:rsidRDefault="00425E28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新城</w:t>
      </w:r>
      <w:r w:rsidR="00D134B1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管委会制定本政策实施细则，进一步明确游戏电竞企业认定、政策申报条件、流程等内容。相关政策的资金支出按属地原则进行保障，鼓励相关行业管理部门利用产业扶持资金予以支持。</w:t>
      </w:r>
    </w:p>
    <w:p w:rsidR="00073401" w:rsidRDefault="00D134B1">
      <w:pPr>
        <w:spacing w:line="560" w:lineRule="auto"/>
        <w:ind w:firstLine="634"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本《实施意见》自2021年5月1日起施行，有效期至2023年12月31日止，2021年1月1日至2021年4月30日参照执行。</w:t>
      </w:r>
    </w:p>
    <w:sectPr w:rsidR="00073401" w:rsidSect="0007340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D9" w:rsidRDefault="008B12D9" w:rsidP="00425E28">
      <w:r>
        <w:separator/>
      </w:r>
    </w:p>
  </w:endnote>
  <w:endnote w:type="continuationSeparator" w:id="1">
    <w:p w:rsidR="008B12D9" w:rsidRDefault="008B12D9" w:rsidP="0042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D9" w:rsidRDefault="008B12D9" w:rsidP="00425E28">
      <w:r>
        <w:separator/>
      </w:r>
    </w:p>
  </w:footnote>
  <w:footnote w:type="continuationSeparator" w:id="1">
    <w:p w:rsidR="008B12D9" w:rsidRDefault="008B12D9" w:rsidP="00425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073401"/>
    <w:rsid w:val="00073401"/>
    <w:rsid w:val="00151ABC"/>
    <w:rsid w:val="00156B5E"/>
    <w:rsid w:val="001D6AA8"/>
    <w:rsid w:val="00304352"/>
    <w:rsid w:val="00425E28"/>
    <w:rsid w:val="00434674"/>
    <w:rsid w:val="004C2149"/>
    <w:rsid w:val="004F7F6A"/>
    <w:rsid w:val="00533E53"/>
    <w:rsid w:val="008B12D9"/>
    <w:rsid w:val="00D134B1"/>
    <w:rsid w:val="00F45FF3"/>
    <w:rsid w:val="42E2323F"/>
    <w:rsid w:val="6E90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40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E28"/>
    <w:rPr>
      <w:sz w:val="18"/>
      <w:szCs w:val="18"/>
    </w:rPr>
  </w:style>
  <w:style w:type="paragraph" w:styleId="a4">
    <w:name w:val="footer"/>
    <w:basedOn w:val="a"/>
    <w:link w:val="Char0"/>
    <w:rsid w:val="0042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617</Words>
  <Characters>3523</Characters>
  <Application>Microsoft Office Word</Application>
  <DocSecurity>0</DocSecurity>
  <Lines>29</Lines>
  <Paragraphs>8</Paragraphs>
  <ScaleCrop>false</ScaleCrop>
  <Company>ZSTPY-Technology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陈建设</dc:creator>
  <cp:lastModifiedBy>孙琴琳</cp:lastModifiedBy>
  <cp:revision>3</cp:revision>
  <cp:lastPrinted>2021-05-12T05:12:00Z</cp:lastPrinted>
  <dcterms:created xsi:type="dcterms:W3CDTF">2021-08-12T09:35:00Z</dcterms:created>
  <dcterms:modified xsi:type="dcterms:W3CDTF">2021-08-12T09:36:00Z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2D8422817B7248FE8BE5108BFD97DAA6</vt:lpwstr>
  </property>
</Properties>
</file>