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left="1540" w:hanging="1540"/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t xml:space="preserve">  </w:t>
      </w:r>
      <w:r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舟山市典当行及分支机构设立、变更审批</w:t>
      </w:r>
      <w:r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“证照分离”改革举措</w:t>
      </w:r>
    </w:p>
    <w:p>
      <w:pPr>
        <w:numPr>
          <w:ilvl w:val="0"/>
          <w:numId w:val="0"/>
        </w:numPr>
        <w:jc w:val="left"/>
        <w:spacing w:lineRule="auto" w:line="357" w:before="0" w:after="0"/>
        <w:ind w:right="49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</w:t>
      </w:r>
    </w:p>
    <w:p>
      <w:pPr>
        <w:numPr>
          <w:ilvl w:val="0"/>
          <w:numId w:val="0"/>
        </w:numPr>
        <w:jc w:val="left"/>
        <w:spacing w:lineRule="auto" w:line="357" w:before="0" w:after="0"/>
        <w:ind w:right="49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根据《舟山市人民政府办公室关于印发舟山市推进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“证照分离”改革试点方案的通知》（舟政办发〔2018〕22</w:t>
      </w:r>
      <w:r>
        <w:rPr>
          <w:spacing w:val="-83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号）的文件要求，我局对涉及</w:t>
      </w:r>
      <w:r>
        <w:rPr>
          <w:spacing w:val="-77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</w:t>
      </w:r>
      <w:r>
        <w:rPr>
          <w:spacing w:val="-75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t>项改革方式为“强化准入监管”</w:t>
      </w:r>
      <w:r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t>的行政审批事项(</w:t>
      </w: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典当行及分支机构设立、变更审批、直销企</w:t>
      </w: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业及其分支机构设立和变更审批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) </w:t>
      </w:r>
      <w:r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t>认真梳理，积极研讨事中</w:t>
      </w:r>
      <w:r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t>事后监管举措，切实加强行政审批，</w:t>
      </w:r>
      <w:r>
        <w:rPr>
          <w:spacing w:val="-126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提升监管效能，提出如下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相关改革措施：</w:t>
      </w:r>
    </w:p>
    <w:p>
      <w:pPr>
        <w:numPr>
          <w:ilvl w:val="0"/>
          <w:numId w:val="0"/>
        </w:numPr>
        <w:jc w:val="left"/>
        <w:spacing w:lineRule="auto" w:line="240" w:before="170" w:after="0"/>
        <w:ind w:right="49" w:firstLine="0"/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 </w:t>
      </w: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>一、依法公开办事指南，实现网上申请受理和审批</w:t>
      </w:r>
    </w:p>
    <w:p>
      <w:pPr>
        <w:numPr>
          <w:ilvl w:val="0"/>
          <w:numId w:val="0"/>
        </w:numPr>
        <w:jc w:val="left"/>
        <w:spacing w:lineRule="auto" w:line="333" w:before="109" w:after="0"/>
        <w:ind w:left="120" w:right="49" w:firstLine="639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-14"/>
          <w:color w:val="auto"/>
          <w:position w:val="0"/>
          <w:sz w:val="32"/>
          <w:szCs w:val="32"/>
          <w:rFonts w:ascii="仿宋" w:eastAsia="仿宋" w:hAnsi="仿宋" w:hint="default"/>
        </w:rPr>
        <w:t>根据行政审批改革“最多跑一次”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spacing w:val="-3"/>
          <w:color w:val="auto"/>
          <w:position w:val="0"/>
          <w:sz w:val="32"/>
          <w:szCs w:val="32"/>
          <w:rFonts w:ascii="仿宋" w:eastAsia="仿宋" w:hAnsi="仿宋" w:hint="default"/>
        </w:rPr>
        <w:t>工作要求，对市级权</w:t>
      </w:r>
      <w:r>
        <w:rPr>
          <w:spacing w:val="-3"/>
          <w:color w:val="auto"/>
          <w:position w:val="0"/>
          <w:sz w:val="32"/>
          <w:szCs w:val="32"/>
          <w:rFonts w:ascii="仿宋" w:eastAsia="仿宋" w:hAnsi="仿宋" w:hint="default"/>
        </w:rPr>
        <w:t>限内的典当行及分支机构变更审批事项，编制许可事项《办</w:t>
      </w:r>
      <w:r>
        <w:rPr>
          <w:spacing w:val="-3"/>
          <w:color w:val="auto"/>
          <w:position w:val="0"/>
          <w:sz w:val="32"/>
          <w:szCs w:val="32"/>
          <w:rFonts w:ascii="仿宋" w:eastAsia="仿宋" w:hAnsi="仿宋" w:hint="default"/>
        </w:rPr>
        <w:t>事指南》，在政府服务网、办事大厅等“线上线下”</w:t>
      </w:r>
      <w:r>
        <w:rPr>
          <w:spacing w:val="-117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公开申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请条件、材料清单、审批流程、办理时限、审批要素等（省级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权限的</w:t>
      </w: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典当行及分支机构设立、变更审批由省商务厅公布，</w:t>
      </w: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国家级权限的直销企业及其分支机构设立和变更审批由商</w:t>
      </w: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务部公布，市商务局加强与商务部、省商务厅的沟通）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依托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舟山市商务局行政审批平台实现网上申请受理和审批，</w:t>
      </w:r>
      <w:r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t>明</w:t>
      </w:r>
      <w:r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t>确审批责任人和实施行为的具体标准、</w:t>
      </w:r>
      <w:r>
        <w:rPr>
          <w:spacing w:val="-130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环节、程序、时限等，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确保按照审批要求</w:t>
      </w:r>
      <w:r>
        <w:rPr>
          <w:spacing w:val="-9"/>
          <w:color w:val="auto"/>
          <w:position w:val="0"/>
          <w:sz w:val="32"/>
          <w:szCs w:val="32"/>
          <w:rFonts w:ascii="仿宋" w:eastAsia="仿宋" w:hAnsi="仿宋" w:hint="default"/>
        </w:rPr>
        <w:t>严格执行到位，达到风险可控。</w:t>
      </w:r>
    </w:p>
    <w:p>
      <w:pPr>
        <w:numPr>
          <w:ilvl w:val="0"/>
          <w:numId w:val="0"/>
        </w:numPr>
        <w:jc w:val="left"/>
        <w:spacing w:lineRule="auto" w:line="240" w:before="159" w:after="0"/>
        <w:ind w:right="49" w:firstLine="0"/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    </w:t>
      </w: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>二、利用综合信息系统，建立健全企业诚信档案</w:t>
      </w:r>
    </w:p>
    <w:p>
      <w:pPr>
        <w:numPr>
          <w:ilvl w:val="0"/>
          <w:numId w:val="0"/>
        </w:numPr>
        <w:jc w:val="left"/>
        <w:spacing w:lineRule="auto" w:line="240" w:before="159" w:after="0"/>
        <w:ind w:right="49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t xml:space="preserve">    </w:t>
      </w:r>
      <w:r>
        <w:rPr>
          <w:spacing w:val="-12"/>
          <w:color w:val="auto"/>
          <w:position w:val="0"/>
          <w:sz w:val="32"/>
          <w:szCs w:val="32"/>
          <w:rFonts w:ascii="仿宋" w:eastAsia="仿宋" w:hAnsi="仿宋" w:hint="default"/>
        </w:rPr>
        <w:t>依托综合信息系统，对于</w:t>
      </w:r>
      <w:r>
        <w:rPr>
          <w:spacing w:val="-3"/>
          <w:color w:val="auto"/>
          <w:position w:val="0"/>
          <w:sz w:val="32"/>
          <w:szCs w:val="32"/>
          <w:rFonts w:ascii="仿宋" w:eastAsia="仿宋" w:hAnsi="仿宋" w:hint="default"/>
        </w:rPr>
        <w:t>取得行政许可的企业，及时完善</w:t>
      </w:r>
      <w:r>
        <w:rPr>
          <w:spacing w:val="-3"/>
          <w:color w:val="auto"/>
          <w:position w:val="0"/>
          <w:sz w:val="32"/>
          <w:szCs w:val="32"/>
          <w:rFonts w:ascii="仿宋" w:eastAsia="仿宋" w:hAnsi="仿宋" w:hint="default"/>
        </w:rPr>
        <w:t>“一企一档”，尤其是健全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企业诚信档案，完整如实记录企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业违法处罚及事故处罚情况。</w:t>
      </w:r>
      <w:r>
        <w:rPr>
          <w:spacing w:val="4"/>
          <w:color w:val="auto"/>
          <w:position w:val="0"/>
          <w:sz w:val="32"/>
          <w:szCs w:val="32"/>
          <w:rFonts w:ascii="仿宋" w:eastAsia="仿宋" w:hAnsi="仿宋" w:hint="default"/>
        </w:rPr>
        <w:t>将企业诚信档案与社会信用体</w:t>
      </w:r>
      <w:r>
        <w:rPr>
          <w:spacing w:val="4"/>
          <w:color w:val="auto"/>
          <w:position w:val="0"/>
          <w:sz w:val="32"/>
          <w:szCs w:val="32"/>
          <w:rFonts w:ascii="仿宋" w:eastAsia="仿宋" w:hAnsi="仿宋" w:hint="default"/>
        </w:rPr>
        <w:t>系平台、安全生产“黑名单”</w:t>
      </w:r>
      <w:r>
        <w:rPr>
          <w:spacing w:val="-139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等措施相衔接，强化激励约束，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促进企业严格落实行业主体责任，依法依规、诚实守信，安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全发展。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通过信息系统对典当行及分支机构日常经营情况进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行监管，如有违规情况，通知当地商务主管部门实地核查，并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将核查整改情况上报省商务厅，省商务厅依据有关规定处理。</w:t>
      </w:r>
    </w:p>
    <w:p>
      <w:pPr>
        <w:numPr>
          <w:ilvl w:val="0"/>
          <w:numId w:val="0"/>
        </w:numPr>
        <w:jc w:val="left"/>
        <w:spacing w:lineRule="auto" w:line="240" w:before="66" w:after="0"/>
        <w:ind w:left="722" w:right="0" w:firstLine="0"/>
        <w:rPr>
          <w:color w:val="auto"/>
          <w:position w:val="0"/>
          <w:sz w:val="32"/>
          <w:szCs w:val="32"/>
          <w:rFonts w:ascii="楷体" w:eastAsia="楷体" w:hAnsi="楷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>三、落实年审及抽查制度，形成监管合力</w:t>
      </w:r>
    </w:p>
    <w:p>
      <w:pPr>
        <w:numPr>
          <w:ilvl w:val="0"/>
          <w:numId w:val="0"/>
        </w:numPr>
        <w:jc w:val="left"/>
        <w:spacing w:lineRule="auto" w:line="240" w:before="214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健全年审及“双随机”抽查制度，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省商务厅通知取得典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当经营许可的典当行及分支机构开展监督检查工作，对符合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条件的企业在证书副本上盖章，对不符合条件的企业书面告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知企业并限期整改；发现企业不再具备许可条件的，责任整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改，整改不通过或者拒不参加整改的，予以注销经营许可；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将监督检查的相关资料归档。建全“双随机”抽查制度，市、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县（区）商务部门以抽查方式开展现场核查，每年原则上抽查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不少于20%的企业，对不规范经营企业进行现场整改。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建立有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关监管部门和公安、工商等单位信息共享、查处通报、案件抄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送制度，部门之间各司其职、各负其责、相互配合，实现资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源共享，形成监管合力。</w:t>
      </w:r>
    </w:p>
    <w:p>
      <w:pPr>
        <w:numPr>
          <w:ilvl w:val="0"/>
          <w:numId w:val="0"/>
        </w:numPr>
        <w:jc w:val="left"/>
        <w:spacing w:lineRule="auto" w:line="240" w:before="66" w:after="0"/>
        <w:ind w:left="722" w:right="0" w:firstLine="0"/>
        <w:rPr>
          <w:color w:val="auto"/>
          <w:position w:val="0"/>
          <w:sz w:val="32"/>
          <w:szCs w:val="32"/>
          <w:rFonts w:ascii="楷体" w:eastAsia="楷体" w:hAnsi="楷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>四、接受社会监督，强化行业自律</w:t>
      </w:r>
    </w:p>
    <w:p>
      <w:pPr>
        <w:numPr>
          <w:ilvl w:val="0"/>
          <w:numId w:val="0"/>
        </w:numPr>
        <w:jc w:val="both"/>
        <w:spacing w:lineRule="auto" w:line="357" w:before="214" w:after="0"/>
        <w:ind w:left="120" w:right="257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spacing w:val="-2"/>
          <w:color w:val="auto"/>
          <w:position w:val="0"/>
          <w:sz w:val="32"/>
          <w:szCs w:val="32"/>
          <w:rFonts w:ascii="仿宋" w:eastAsia="仿宋" w:hAnsi="仿宋" w:hint="default"/>
        </w:rPr>
        <w:t>开设商务局网站信箱、安全生产微信平台等，引导社</w:t>
      </w:r>
      <w:r>
        <w:rPr>
          <w:spacing w:val="-2"/>
          <w:color w:val="auto"/>
          <w:position w:val="0"/>
          <w:sz w:val="32"/>
          <w:szCs w:val="32"/>
          <w:rFonts w:ascii="仿宋" w:eastAsia="仿宋" w:hAnsi="仿宋" w:hint="default"/>
        </w:rPr>
        <w:t>会公众监督内贸特种行业审批工作。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建立信用信息互通共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享机制，实现社会信用信息的联动综合利用，加大失信惩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戒力度，形成“一处违法，处处受限”的信用约束机制。充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分发挥行业组织的舆论和社会公众的监督作用，实现色会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共同监管，推动市场主体自我约束、诚信经营。</w:t>
      </w:r>
    </w:p>
    <w:p>
      <w:pPr>
        <w:numPr>
          <w:ilvl w:val="0"/>
          <w:numId w:val="0"/>
        </w:numPr>
        <w:jc w:val="left"/>
        <w:spacing w:lineRule="auto" w:line="240" w:before="1" w:after="0"/>
        <w:ind w:left="761" w:right="49" w:firstLine="621"/>
        <w:rPr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 xml:space="preserve">    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" w:eastAsia="仿宋" w:hAnsi="仿宋" w:hint="default"/>
        </w:rPr>
        <w:t xml:space="preserve">    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Hewlett-Packard Company</Company>
  <DocSecurity>0</DocSecurity>
  <HyperlinksChanged>false</HyperlinksChanged>
  <Lines>7</Lines>
  <LinksUpToDate>false</LinksUpToDate>
  <Pages>3</Pages>
  <Paragraphs>2</Paragraphs>
  <Words>159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方顶学</dc:creator>
  <cp:lastModifiedBy/>
  <dcterms:modified xsi:type="dcterms:W3CDTF">2018-01-09T02:38:00Z</dcterms:modified>
</cp:coreProperties>
</file>