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left="1320" w:hanging="1320"/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</w:pP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舟山市</w:t>
      </w:r>
      <w:r>
        <w:rPr>
          <w:spacing w:val="-20"/>
          <w:color w:val="auto"/>
          <w:position w:val="0"/>
          <w:sz w:val="44"/>
          <w:szCs w:val="44"/>
          <w:smallCaps w:val="0"/>
          <w:rFonts w:ascii="方正小标宋简体" w:eastAsia="方正小标宋简体" w:hAnsi="方正小标宋简体" w:hint="default"/>
        </w:rPr>
        <w:t>石油成品油批发经营资格审批（初审）</w:t>
      </w:r>
      <w:r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事项事中事后监管措施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 一、事项名称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 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石油成品油批发经营资格审批（初审）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 二、事项类别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      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提高审批透明度和可预期性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 三、</w:t>
      </w: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监管对象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取得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成品油批发经营资格的企业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      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>四、监管内容</w:t>
      </w:r>
    </w:p>
    <w:p>
      <w:pPr>
        <w:numPr>
          <w:ilvl w:val="0"/>
          <w:numId w:val="0"/>
        </w:numPr>
        <w:jc w:val="both"/>
        <w:spacing w:lineRule="exact" w:line="556" w:before="0" w:after="0"/>
        <w:ind w:right="0" w:firstLine="64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依据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《中华人民共和国行政许可法》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《成品油市场管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理办法》（商务部令2006年第23号）和《浙江省商务厅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关于印发“双随机”抽查监管实施方案的通知》（浙商务发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﹝2016﹞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165号）等相关规定进行监管。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（一）成品油经营资格条件是否符合规定；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（二）是否存在下列行为：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1.涂改、倒卖、出租、出借或者以其他形式非法转让成品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油经营批准证书的；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2.成品油专项用户违反规定，擅自将专项用油对系统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外销售的；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3.采取掺杂掺假、以假充真、以次充好或者以不合格产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品冒充合格产品等手段销售成品油，或者销售国家明令淘汰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并禁止销售的成品油的；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4.销售走私成品油的；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5.成品油批发企业向不具有成品油经营资格的企业销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售用于经营用途成品油的；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6.超越经营范围进行经营活动的；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7.违反有关技术规范要求的；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8.法律、法规、规章规定的其他违法行为。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五、监管方式与措施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一）年检，要求取得成品油批发经营资格的企业每年定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期上报年检材料；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（二）日常监督、检查；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（三）对企业开展</w:t>
      </w:r>
      <w:r>
        <w:rPr>
          <w:rStyle w:val="PO1"/>
          <w:spacing w:val="0"/>
          <w:b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不定期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检查，每年原则上抽查不少于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10%的企业，对不合格的企业责令限期整改；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（四）部门协同监管。建立有关监管部门和公安、工商等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单位信息共享、查处通报、案件抄送制度，部门之间各司其职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、各负其责、相互配合，实现资源共享，形成监管合力；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 （五）信用联合惩戒。建立信用信息互通共享机制，实现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社会信用信息的联动综合利用，加大失信惩戒力度，形成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“一处违法，处处受限”的信用约束机制；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 （六）社会共同监管。充分发挥行业组织的舆论和社会公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众的监督作用，实现色会共同监管，推动市场主体自我约束、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诚信经营。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六、监管程序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     （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一）年检程序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1.每年12月15日前通知取得成品油批发经营资格的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企业开展向所在地县级商务主管部门申报年检；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2.持证企业在规定期限内填报《成品油经营企业年度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检查登记表》,并提交相关材料至县级市商务主管部门；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3.县级商务主管部门自收到年检材料之日起20日内完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成年检工作；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4.对符合条件的企业在许可证副本上出具“年检合格”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意见，对不符合条件的企业书面告知企业并限期整改。经整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改仍不合格的，由地级市商务主管部门报省商务厅撤销经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营资格。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（二）不定期检查程序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不定期开展检查活动。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经检查不合格的，责令整改，并依法作出行政处罚等处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理。经整改仍不合格的，由县级商务主管部门报省商务厅撤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销成品油批发经营资格。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七、监管处室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：舟山市商务局自由贸易推进服务处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0580-2281256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</w:t>
      </w:r>
      <w:r>
        <w:rPr>
          <w:rStyle w:val="PO1"/>
          <w:spacing w:val="0"/>
          <w:color w:val="FF0000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>八、投诉电话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：0580-12345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</w:pP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left="1320" w:hanging="1320"/>
        <w:rPr>
          <w:spacing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wordWrap w:val="off"/>
      </w:pPr>
    </w:p>
    <w:p>
      <w:pPr>
        <w:bidi w:val="0"/>
        <w:numPr>
          <w:ilvl w:val="0"/>
          <w:numId w:val="0"/>
        </w:numPr>
        <w:jc w:val="center"/>
        <w:spacing w:lineRule="exact" w:line="556" w:before="0" w:after="0"/>
        <w:pageBreakBefore w:val="0"/>
        <w:ind w:right="0" w:firstLine="0"/>
        <w:rPr>
          <w:spacing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56" w:before="0" w:after="0"/>
        <w:pageBreakBefore w:val="0"/>
        <w:ind w:right="0" w:firstLine="0"/>
        <w:rPr>
          <w:spacing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wordWrap w:val="off"/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Hewlett-Packard Company</Company>
  <DocSecurity>0</DocSecurity>
  <HyperlinksChanged>false</HyperlinksChanged>
  <Lines>7</Lines>
  <LinksUpToDate>false</LinksUpToDate>
  <Pages>3</Pages>
  <Paragraphs>2</Paragraphs>
  <Words>159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方顶学</dc:creator>
  <cp:lastModifiedBy/>
  <dcterms:modified xsi:type="dcterms:W3CDTF">2018-01-09T02:38:00Z</dcterms:modified>
</cp:coreProperties>
</file>